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F6" w:rsidRDefault="008565F6" w:rsidP="008565F6">
      <w:pPr>
        <w:jc w:val="center"/>
        <w:rPr>
          <w:rFonts w:ascii="Times New Roman" w:hAnsi="Times New Roman"/>
          <w:b/>
          <w:szCs w:val="28"/>
          <w:lang w:eastAsia="ru-RU"/>
        </w:rPr>
      </w:pPr>
      <w:r>
        <w:rPr>
          <w:rFonts w:ascii="Times New Roman" w:hAnsi="Times New Roman"/>
          <w:b/>
          <w:szCs w:val="28"/>
          <w:lang w:eastAsia="ru-RU"/>
        </w:rPr>
        <w:t>Красноярский край Назаровский район</w:t>
      </w:r>
    </w:p>
    <w:p w:rsidR="008565F6" w:rsidRDefault="008565F6" w:rsidP="008565F6">
      <w:pPr>
        <w:jc w:val="center"/>
        <w:rPr>
          <w:rFonts w:ascii="Times New Roman" w:hAnsi="Times New Roman"/>
          <w:b/>
          <w:szCs w:val="28"/>
          <w:lang w:eastAsia="ru-RU"/>
        </w:rPr>
      </w:pPr>
    </w:p>
    <w:p w:rsidR="008565F6" w:rsidRDefault="008565F6" w:rsidP="008565F6">
      <w:pPr>
        <w:jc w:val="center"/>
        <w:rPr>
          <w:rFonts w:ascii="Times New Roman" w:hAnsi="Times New Roman"/>
          <w:b/>
          <w:szCs w:val="28"/>
          <w:lang w:eastAsia="ru-RU"/>
        </w:rPr>
      </w:pPr>
      <w:r>
        <w:rPr>
          <w:rFonts w:ascii="Times New Roman" w:hAnsi="Times New Roman"/>
          <w:b/>
          <w:szCs w:val="28"/>
          <w:lang w:eastAsia="ru-RU"/>
        </w:rPr>
        <w:t>ПРЕОБРАЖЕНСКИЙ СЕЛЬСКИЙ СОВЕТ ДЕПУТАТОВ</w:t>
      </w:r>
    </w:p>
    <w:p w:rsidR="002F23F3" w:rsidRDefault="002F23F3" w:rsidP="008565F6">
      <w:pPr>
        <w:jc w:val="center"/>
        <w:rPr>
          <w:rFonts w:ascii="Times New Roman" w:hAnsi="Times New Roman"/>
          <w:b/>
          <w:szCs w:val="28"/>
          <w:lang w:eastAsia="ru-RU"/>
        </w:rPr>
      </w:pPr>
    </w:p>
    <w:p w:rsidR="002F23F3" w:rsidRDefault="002F23F3" w:rsidP="008565F6">
      <w:pPr>
        <w:jc w:val="center"/>
        <w:rPr>
          <w:rFonts w:ascii="Times New Roman" w:hAnsi="Times New Roman"/>
          <w:b/>
          <w:szCs w:val="28"/>
          <w:lang w:eastAsia="ru-RU"/>
        </w:rPr>
      </w:pPr>
      <w:r>
        <w:rPr>
          <w:rFonts w:ascii="Times New Roman" w:hAnsi="Times New Roman"/>
          <w:b/>
          <w:szCs w:val="28"/>
          <w:lang w:eastAsia="ru-RU"/>
        </w:rPr>
        <w:t>РЕШЕНИЕ</w:t>
      </w:r>
    </w:p>
    <w:p w:rsidR="002F23F3" w:rsidRDefault="002F23F3" w:rsidP="008565F6">
      <w:pPr>
        <w:jc w:val="center"/>
        <w:rPr>
          <w:rFonts w:ascii="Times New Roman" w:hAnsi="Times New Roman"/>
          <w:b/>
          <w:szCs w:val="28"/>
          <w:lang w:eastAsia="ru-RU"/>
        </w:rPr>
      </w:pPr>
    </w:p>
    <w:p w:rsidR="008565F6" w:rsidRPr="008565F6" w:rsidRDefault="00F576E8" w:rsidP="008565F6">
      <w:pPr>
        <w:jc w:val="left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</w:t>
      </w:r>
      <w:r w:rsidR="00EC3095">
        <w:rPr>
          <w:rFonts w:ascii="Times New Roman" w:hAnsi="Times New Roman"/>
          <w:szCs w:val="28"/>
          <w:lang w:eastAsia="ru-RU"/>
        </w:rPr>
        <w:t>29</w:t>
      </w:r>
      <w:bookmarkStart w:id="0" w:name="_GoBack"/>
      <w:bookmarkEnd w:id="0"/>
      <w:r w:rsidR="001745ED">
        <w:rPr>
          <w:rFonts w:ascii="Times New Roman" w:hAnsi="Times New Roman"/>
          <w:szCs w:val="28"/>
          <w:lang w:eastAsia="ru-RU"/>
        </w:rPr>
        <w:t xml:space="preserve"> января </w:t>
      </w:r>
      <w:r>
        <w:rPr>
          <w:rFonts w:ascii="Times New Roman" w:hAnsi="Times New Roman"/>
          <w:szCs w:val="28"/>
          <w:lang w:eastAsia="ru-RU"/>
        </w:rPr>
        <w:t>2021</w:t>
      </w:r>
      <w:r w:rsidR="002C26A5">
        <w:rPr>
          <w:rFonts w:ascii="Times New Roman" w:hAnsi="Times New Roman"/>
          <w:szCs w:val="28"/>
          <w:lang w:eastAsia="ru-RU"/>
        </w:rPr>
        <w:t xml:space="preserve">                      </w:t>
      </w:r>
      <w:r w:rsidR="008565F6" w:rsidRPr="008565F6">
        <w:rPr>
          <w:rFonts w:ascii="Times New Roman" w:hAnsi="Times New Roman"/>
          <w:szCs w:val="28"/>
          <w:lang w:eastAsia="ru-RU"/>
        </w:rPr>
        <w:t xml:space="preserve">п. Преображенский </w:t>
      </w:r>
      <w:r w:rsidR="008565F6">
        <w:rPr>
          <w:rFonts w:ascii="Times New Roman" w:hAnsi="Times New Roman"/>
          <w:szCs w:val="28"/>
          <w:lang w:eastAsia="ru-RU"/>
        </w:rPr>
        <w:t xml:space="preserve">    </w:t>
      </w:r>
      <w:r w:rsidR="002F23F3">
        <w:rPr>
          <w:rFonts w:ascii="Times New Roman" w:hAnsi="Times New Roman"/>
          <w:szCs w:val="28"/>
          <w:lang w:eastAsia="ru-RU"/>
        </w:rPr>
        <w:t xml:space="preserve">       </w:t>
      </w:r>
      <w:r w:rsidR="008565F6">
        <w:rPr>
          <w:rFonts w:ascii="Times New Roman" w:hAnsi="Times New Roman"/>
          <w:szCs w:val="28"/>
          <w:lang w:eastAsia="ru-RU"/>
        </w:rPr>
        <w:t xml:space="preserve">      </w:t>
      </w:r>
      <w:r w:rsidR="007D59B0">
        <w:rPr>
          <w:rFonts w:ascii="Times New Roman" w:hAnsi="Times New Roman"/>
          <w:szCs w:val="28"/>
          <w:lang w:eastAsia="ru-RU"/>
        </w:rPr>
        <w:t xml:space="preserve">    </w:t>
      </w:r>
      <w:r w:rsidR="008565F6">
        <w:rPr>
          <w:rFonts w:ascii="Times New Roman" w:hAnsi="Times New Roman"/>
          <w:szCs w:val="28"/>
          <w:lang w:eastAsia="ru-RU"/>
        </w:rPr>
        <w:t xml:space="preserve">             </w:t>
      </w:r>
      <w:r w:rsidR="008565F6" w:rsidRPr="008565F6">
        <w:rPr>
          <w:rFonts w:ascii="Times New Roman" w:hAnsi="Times New Roman"/>
          <w:szCs w:val="28"/>
          <w:lang w:eastAsia="ru-RU"/>
        </w:rPr>
        <w:t>№</w:t>
      </w:r>
      <w:r w:rsidR="002F23F3">
        <w:rPr>
          <w:rFonts w:ascii="Times New Roman" w:hAnsi="Times New Roman"/>
          <w:szCs w:val="28"/>
          <w:lang w:eastAsia="ru-RU"/>
        </w:rPr>
        <w:t xml:space="preserve"> </w:t>
      </w:r>
      <w:r w:rsidR="001745ED">
        <w:rPr>
          <w:rFonts w:ascii="Times New Roman" w:hAnsi="Times New Roman"/>
          <w:szCs w:val="28"/>
          <w:lang w:eastAsia="ru-RU"/>
        </w:rPr>
        <w:t>5-25</w:t>
      </w:r>
    </w:p>
    <w:p w:rsidR="008565F6" w:rsidRDefault="008565F6" w:rsidP="008565F6">
      <w:pPr>
        <w:jc w:val="center"/>
        <w:rPr>
          <w:rFonts w:ascii="Times New Roman" w:hAnsi="Times New Roman"/>
          <w:b/>
          <w:szCs w:val="28"/>
          <w:lang w:eastAsia="ru-RU"/>
        </w:rPr>
      </w:pPr>
    </w:p>
    <w:p w:rsidR="002C26A5" w:rsidRDefault="002C26A5" w:rsidP="008565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</w:t>
      </w:r>
    </w:p>
    <w:p w:rsidR="002C26A5" w:rsidRDefault="002C26A5" w:rsidP="008565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решение Преображенского сельского Совета депутатов</w:t>
      </w:r>
    </w:p>
    <w:p w:rsidR="008565F6" w:rsidRPr="008565F6" w:rsidRDefault="002C26A5" w:rsidP="008565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22.11.2018  № 34-126 «О</w:t>
      </w:r>
      <w:r w:rsidRPr="008565F6">
        <w:rPr>
          <w:rFonts w:ascii="Times New Roman" w:hAnsi="Times New Roman"/>
          <w:b/>
        </w:rPr>
        <w:t xml:space="preserve"> налоге на имущество физических лиц</w:t>
      </w:r>
      <w:r>
        <w:rPr>
          <w:rFonts w:ascii="Times New Roman" w:hAnsi="Times New Roman"/>
          <w:b/>
        </w:rPr>
        <w:t>»</w:t>
      </w:r>
      <w:r w:rsidR="007D59B0" w:rsidRPr="008565F6">
        <w:rPr>
          <w:rFonts w:ascii="Times New Roman" w:hAnsi="Times New Roman"/>
          <w:b/>
        </w:rPr>
        <w:t xml:space="preserve"> </w:t>
      </w:r>
    </w:p>
    <w:p w:rsidR="008565F6" w:rsidRDefault="008565F6" w:rsidP="008565F6">
      <w:pPr>
        <w:rPr>
          <w:rFonts w:ascii="Times New Roman" w:hAnsi="Times New Roman"/>
        </w:rPr>
      </w:pPr>
    </w:p>
    <w:p w:rsidR="008565F6" w:rsidRDefault="008565F6" w:rsidP="008565F6">
      <w:pPr>
        <w:ind w:firstLine="709"/>
        <w:rPr>
          <w:rFonts w:ascii="Times New Roman" w:hAnsi="Times New Roman"/>
        </w:rPr>
      </w:pPr>
      <w:proofErr w:type="gramStart"/>
      <w:r w:rsidRPr="002B6053">
        <w:rPr>
          <w:rFonts w:ascii="Times New Roman" w:hAnsi="Times New Roman"/>
        </w:rPr>
        <w:t xml:space="preserve">В соответствии с </w:t>
      </w:r>
      <w:hyperlink r:id="rId8" w:history="1">
        <w:r w:rsidRPr="002B6053">
          <w:rPr>
            <w:rFonts w:ascii="Times New Roman" w:hAnsi="Times New Roman"/>
          </w:rPr>
          <w:t>главой 32 Налогового кодекса Российской Федерации</w:t>
        </w:r>
      </w:hyperlink>
      <w:r w:rsidRPr="002B6053">
        <w:rPr>
          <w:rFonts w:ascii="Times New Roman" w:hAnsi="Times New Roman"/>
        </w:rPr>
        <w:t xml:space="preserve">, </w:t>
      </w:r>
      <w:hyperlink r:id="rId9" w:history="1">
        <w:r w:rsidRPr="00E6347B">
          <w:rPr>
            <w:rFonts w:ascii="Times New Roman" w:hAnsi="Times New Roman"/>
          </w:rPr>
          <w:t>Фед</w:t>
        </w:r>
        <w:r>
          <w:rPr>
            <w:rFonts w:ascii="Times New Roman" w:hAnsi="Times New Roman"/>
          </w:rPr>
          <w:t>еральным законом от 06.10.2003 №</w:t>
        </w:r>
        <w:r w:rsidRPr="00E6347B">
          <w:rPr>
            <w:rFonts w:ascii="Times New Roman" w:hAnsi="Times New Roman"/>
          </w:rPr>
          <w:t xml:space="preserve"> 131-ФЗ</w:t>
        </w:r>
      </w:hyperlink>
      <w:r w:rsidRPr="00E6347B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2B6053">
          <w:rPr>
            <w:rFonts w:ascii="Times New Roman" w:hAnsi="Times New Roman"/>
          </w:rPr>
          <w:t xml:space="preserve">Законом Красноярского края </w:t>
        </w:r>
        <w:r w:rsidRPr="00AA18EA">
          <w:rPr>
            <w:rFonts w:ascii="Times New Roman" w:hAnsi="Times New Roman"/>
            <w:szCs w:val="28"/>
          </w:rPr>
          <w:t>№</w:t>
        </w:r>
        <w:r>
          <w:rPr>
            <w:rFonts w:ascii="Times New Roman" w:hAnsi="Times New Roman"/>
            <w:szCs w:val="28"/>
          </w:rPr>
          <w:t> 6-2108</w:t>
        </w:r>
        <w:r w:rsidRPr="00AA18EA">
          <w:rPr>
            <w:rFonts w:ascii="Times New Roman" w:hAnsi="Times New Roman"/>
            <w:szCs w:val="28"/>
          </w:rPr>
          <w:t xml:space="preserve"> от 01.11.2018</w:t>
        </w:r>
        <w:r w:rsidRPr="002B6053">
          <w:rPr>
            <w:rFonts w:ascii="Times New Roman" w:hAnsi="Times New Roman"/>
          </w:rPr>
          <w:t xml:space="preserve"> «</w:t>
        </w:r>
      </w:hyperlink>
      <w:r w:rsidRPr="00187B09">
        <w:rPr>
          <w:rFonts w:ascii="Times New Roman" w:hAnsi="Times New Roman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>
        <w:rPr>
          <w:rFonts w:ascii="Times New Roman" w:hAnsi="Times New Roman"/>
        </w:rPr>
        <w:t xml:space="preserve"> исходя из </w:t>
      </w:r>
      <w:r w:rsidRPr="00187B09">
        <w:rPr>
          <w:rFonts w:ascii="Times New Roman" w:hAnsi="Times New Roman"/>
        </w:rPr>
        <w:t>кадастровой стоимости объектов налогообложения</w:t>
      </w:r>
      <w:r>
        <w:rPr>
          <w:rFonts w:ascii="Times New Roman" w:hAnsi="Times New Roman"/>
        </w:rPr>
        <w:t>», руководствуясь</w:t>
      </w:r>
      <w:proofErr w:type="gramEnd"/>
      <w:r>
        <w:rPr>
          <w:rFonts w:ascii="Times New Roman" w:hAnsi="Times New Roman"/>
        </w:rPr>
        <w:t xml:space="preserve"> Уставом Преображенского </w:t>
      </w:r>
      <w:r w:rsidR="00381FE5">
        <w:rPr>
          <w:rFonts w:ascii="Times New Roman" w:hAnsi="Times New Roman"/>
        </w:rPr>
        <w:t>сельсовета</w:t>
      </w:r>
      <w:r>
        <w:rPr>
          <w:rFonts w:ascii="Times New Roman" w:hAnsi="Times New Roman"/>
        </w:rPr>
        <w:t xml:space="preserve"> Назаровского района Красноярского края, Преображенский сельский Совет депутатов</w:t>
      </w:r>
      <w:r w:rsidR="003258A1">
        <w:rPr>
          <w:rFonts w:ascii="Times New Roman" w:hAnsi="Times New Roman"/>
        </w:rPr>
        <w:t>,</w:t>
      </w:r>
      <w:r w:rsidRPr="002B605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РЕШИЛ</w:t>
      </w:r>
      <w:r w:rsidRPr="002B6053">
        <w:rPr>
          <w:rFonts w:ascii="Times New Roman" w:hAnsi="Times New Roman"/>
        </w:rPr>
        <w:t>:</w:t>
      </w:r>
    </w:p>
    <w:p w:rsidR="008565F6" w:rsidRDefault="002C26A5" w:rsidP="002C26A5">
      <w:pPr>
        <w:pStyle w:val="a5"/>
        <w:numPr>
          <w:ilvl w:val="0"/>
          <w:numId w:val="1"/>
        </w:numPr>
        <w:ind w:left="0" w:firstLine="708"/>
        <w:rPr>
          <w:rFonts w:ascii="Times New Roman" w:hAnsi="Times New Roman"/>
        </w:rPr>
      </w:pPr>
      <w:r w:rsidRPr="002C26A5">
        <w:rPr>
          <w:rFonts w:ascii="Times New Roman" w:hAnsi="Times New Roman"/>
        </w:rPr>
        <w:t xml:space="preserve">Внести в решение Преображенского сельского Совета депутатов </w:t>
      </w:r>
      <w:r>
        <w:rPr>
          <w:rFonts w:ascii="Times New Roman" w:hAnsi="Times New Roman"/>
        </w:rPr>
        <w:t xml:space="preserve">от </w:t>
      </w:r>
      <w:r w:rsidRPr="002C26A5">
        <w:rPr>
          <w:rFonts w:ascii="Times New Roman" w:hAnsi="Times New Roman"/>
        </w:rPr>
        <w:t>22.11.2018  № 34-126 «О налоге на имущество физических лиц»</w:t>
      </w:r>
      <w:r>
        <w:rPr>
          <w:rFonts w:ascii="Times New Roman" w:hAnsi="Times New Roman"/>
        </w:rPr>
        <w:t xml:space="preserve"> следующие изменения:</w:t>
      </w:r>
    </w:p>
    <w:p w:rsidR="00795B3C" w:rsidRDefault="00F576E8" w:rsidP="00795B3C">
      <w:pPr>
        <w:pStyle w:val="a5"/>
        <w:numPr>
          <w:ilvl w:val="1"/>
          <w:numId w:val="1"/>
        </w:numPr>
        <w:tabs>
          <w:tab w:val="left" w:pos="1418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95B3C">
        <w:rPr>
          <w:rFonts w:ascii="Times New Roman" w:hAnsi="Times New Roman"/>
        </w:rPr>
        <w:t xml:space="preserve">ункт 2 решения </w:t>
      </w:r>
      <w:r>
        <w:rPr>
          <w:rFonts w:ascii="Times New Roman" w:hAnsi="Times New Roman"/>
        </w:rPr>
        <w:t>изложить в следующей редакции:</w:t>
      </w:r>
    </w:p>
    <w:p w:rsidR="004009DD" w:rsidRDefault="00F576E8" w:rsidP="0018320E">
      <w:pPr>
        <w:pStyle w:val="a5"/>
        <w:tabs>
          <w:tab w:val="left" w:pos="1418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«2. Налоговые ставки устанавливаются в следующих размерах от кадастровой стоимости: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668"/>
        <w:gridCol w:w="2943"/>
      </w:tblGrid>
      <w:tr w:rsidR="004009DD" w:rsidTr="009C6C4D">
        <w:tc>
          <w:tcPr>
            <w:tcW w:w="851" w:type="dxa"/>
          </w:tcPr>
          <w:p w:rsidR="004009DD" w:rsidRDefault="004009DD" w:rsidP="00F576E8">
            <w:pPr>
              <w:pStyle w:val="a5"/>
              <w:tabs>
                <w:tab w:val="left" w:pos="1418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668" w:type="dxa"/>
          </w:tcPr>
          <w:p w:rsidR="004009DD" w:rsidRPr="0043615F" w:rsidRDefault="004009DD" w:rsidP="006A2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943" w:type="dxa"/>
          </w:tcPr>
          <w:p w:rsidR="004009DD" w:rsidRPr="0043615F" w:rsidRDefault="004009DD" w:rsidP="006A2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Налоговая ставка (в процентах)</w:t>
            </w:r>
          </w:p>
        </w:tc>
      </w:tr>
      <w:tr w:rsidR="004009DD" w:rsidTr="009C6C4D">
        <w:tc>
          <w:tcPr>
            <w:tcW w:w="851" w:type="dxa"/>
          </w:tcPr>
          <w:p w:rsidR="004009DD" w:rsidRDefault="004009DD" w:rsidP="004009DD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68" w:type="dxa"/>
          </w:tcPr>
          <w:p w:rsidR="004009DD" w:rsidRPr="0043615F" w:rsidRDefault="004C1515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Объекты налогообложения</w:t>
            </w:r>
            <w:r w:rsidR="004009DD" w:rsidRPr="0043615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009DD" w:rsidRPr="0043615F" w:rsidRDefault="004009DD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жилой дом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(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>част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ь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 xml:space="preserve"> жил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 xml:space="preserve"> дом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а);</w:t>
            </w:r>
          </w:p>
          <w:p w:rsidR="004009DD" w:rsidRPr="0043615F" w:rsidRDefault="004009DD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Pr="004361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>част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ь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 xml:space="preserve"> квартир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ы);</w:t>
            </w:r>
          </w:p>
          <w:p w:rsidR="004009DD" w:rsidRPr="0043615F" w:rsidRDefault="004009DD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комната;</w:t>
            </w:r>
          </w:p>
          <w:p w:rsidR="004009DD" w:rsidRPr="0043615F" w:rsidRDefault="004009DD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4009DD" w:rsidRPr="0043615F" w:rsidRDefault="004009DD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 xml:space="preserve">единый недвижимый комплекс, в состав которого входит хотя бы </w:t>
            </w:r>
            <w:r>
              <w:rPr>
                <w:rFonts w:ascii="Times New Roman" w:hAnsi="Times New Roman"/>
                <w:sz w:val="26"/>
                <w:szCs w:val="26"/>
              </w:rPr>
              <w:t>один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09DD" w:rsidRPr="0043615F" w:rsidRDefault="004009DD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 xml:space="preserve">гараж, </w:t>
            </w:r>
            <w:proofErr w:type="spellStart"/>
            <w:r w:rsidRPr="0043615F">
              <w:rPr>
                <w:rFonts w:ascii="Times New Roman" w:hAnsi="Times New Roman"/>
                <w:sz w:val="26"/>
                <w:szCs w:val="26"/>
              </w:rPr>
              <w:t>машино</w:t>
            </w:r>
            <w:proofErr w:type="spellEnd"/>
            <w:r w:rsidRPr="0043615F">
              <w:rPr>
                <w:rFonts w:ascii="Times New Roman" w:hAnsi="Times New Roman"/>
                <w:sz w:val="26"/>
                <w:szCs w:val="26"/>
              </w:rPr>
              <w:t>-место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 том числе расположенные в объектах 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Федерации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009DD" w:rsidRPr="0043615F" w:rsidRDefault="004009DD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хозяйственное строение или сооружение, площадь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которого не превышает 50 квадратных метров и которое расположено на земельном участке, предоставленном для ведения личного подсобного, огородничества, садоводства или индивидуального жилищного строительства;</w:t>
            </w:r>
          </w:p>
        </w:tc>
        <w:tc>
          <w:tcPr>
            <w:tcW w:w="2943" w:type="dxa"/>
          </w:tcPr>
          <w:p w:rsidR="004009DD" w:rsidRDefault="004009DD" w:rsidP="004009DD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0,3</w:t>
            </w:r>
          </w:p>
        </w:tc>
      </w:tr>
      <w:tr w:rsidR="004009DD" w:rsidTr="009C6C4D">
        <w:tc>
          <w:tcPr>
            <w:tcW w:w="851" w:type="dxa"/>
          </w:tcPr>
          <w:p w:rsidR="004009DD" w:rsidRDefault="004009DD" w:rsidP="004009DD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668" w:type="dxa"/>
          </w:tcPr>
          <w:p w:rsidR="004009DD" w:rsidRDefault="004009DD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 xml:space="preserve">Объект налогообложения, </w:t>
            </w:r>
            <w:r>
              <w:rPr>
                <w:rFonts w:ascii="Times New Roman" w:hAnsi="Times New Roman"/>
                <w:sz w:val="26"/>
                <w:szCs w:val="26"/>
              </w:rPr>
              <w:t>включенный в перечень, определяемый в соответствии с пунктом 7 статьи 378.2 Налогового кодекса Российской Федерации;</w:t>
            </w:r>
          </w:p>
          <w:p w:rsidR="004009DD" w:rsidRDefault="004009DD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налогообложения, предусмотренный абзацем вторым пункта 10 статьи 378.2 Налогового кодекса Российской Федерации;</w:t>
            </w:r>
          </w:p>
          <w:p w:rsidR="004009DD" w:rsidRPr="0043615F" w:rsidRDefault="004009DD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объекты налогообложения, кадастровая стоимость которых превышает 300 миллионов рублей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943" w:type="dxa"/>
          </w:tcPr>
          <w:p w:rsidR="004009DD" w:rsidRDefault="004009DD" w:rsidP="004009DD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4009DD" w:rsidTr="009C6C4D">
        <w:tc>
          <w:tcPr>
            <w:tcW w:w="851" w:type="dxa"/>
          </w:tcPr>
          <w:p w:rsidR="004009DD" w:rsidRDefault="004009DD" w:rsidP="004009DD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68" w:type="dxa"/>
          </w:tcPr>
          <w:p w:rsidR="004009DD" w:rsidRPr="0043615F" w:rsidRDefault="004009DD" w:rsidP="006A22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943" w:type="dxa"/>
          </w:tcPr>
          <w:p w:rsidR="004009DD" w:rsidRDefault="004009DD" w:rsidP="004009DD">
            <w:pPr>
              <w:pStyle w:val="a5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F576E8" w:rsidRPr="009C6C4D" w:rsidRDefault="00F576E8" w:rsidP="009C6C4D">
      <w:pPr>
        <w:tabs>
          <w:tab w:val="left" w:pos="1418"/>
        </w:tabs>
        <w:rPr>
          <w:rFonts w:ascii="Times New Roman" w:hAnsi="Times New Roman"/>
        </w:rPr>
      </w:pPr>
    </w:p>
    <w:p w:rsidR="008565F6" w:rsidRPr="00FC04B2" w:rsidRDefault="008565F6" w:rsidP="00FC04B2">
      <w:pPr>
        <w:pStyle w:val="a5"/>
        <w:numPr>
          <w:ilvl w:val="0"/>
          <w:numId w:val="1"/>
        </w:numPr>
        <w:spacing w:before="120"/>
        <w:ind w:left="0" w:firstLine="708"/>
        <w:rPr>
          <w:rFonts w:ascii="Times New Roman" w:hAnsi="Times New Roman"/>
        </w:rPr>
      </w:pPr>
      <w:r w:rsidRPr="00FC04B2">
        <w:rPr>
          <w:rFonts w:ascii="Times New Roman" w:hAnsi="Times New Roman"/>
        </w:rPr>
        <w:t xml:space="preserve">Настоящее решение вступает в силу не ранее чем по истечении одного месяца со дня его официального опубликования и </w:t>
      </w:r>
      <w:r w:rsidR="000E04F9" w:rsidRPr="00FC04B2">
        <w:rPr>
          <w:rFonts w:ascii="Times New Roman" w:hAnsi="Times New Roman"/>
        </w:rPr>
        <w:t>распространяет свое действие на правоотношения, возникшие с 1 января 20</w:t>
      </w:r>
      <w:r w:rsidR="00805702">
        <w:rPr>
          <w:rFonts w:ascii="Times New Roman" w:hAnsi="Times New Roman"/>
        </w:rPr>
        <w:t>21</w:t>
      </w:r>
      <w:r w:rsidR="000E04F9" w:rsidRPr="00FC04B2">
        <w:rPr>
          <w:rFonts w:ascii="Times New Roman" w:hAnsi="Times New Roman"/>
        </w:rPr>
        <w:t xml:space="preserve"> года.</w:t>
      </w:r>
    </w:p>
    <w:p w:rsidR="008565F6" w:rsidRDefault="008565F6" w:rsidP="008565F6">
      <w:pPr>
        <w:spacing w:before="120"/>
        <w:rPr>
          <w:rFonts w:ascii="Times New Roman" w:hAnsi="Times New Roman"/>
        </w:rPr>
      </w:pPr>
    </w:p>
    <w:p w:rsidR="008565F6" w:rsidRDefault="001745ED" w:rsidP="008565F6">
      <w:pPr>
        <w:tabs>
          <w:tab w:val="left" w:pos="5595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</w:t>
      </w:r>
      <w:r w:rsidR="008565F6">
        <w:rPr>
          <w:rFonts w:ascii="Times New Roman" w:hAnsi="Times New Roman"/>
        </w:rPr>
        <w:tab/>
        <w:t>Глава</w:t>
      </w:r>
    </w:p>
    <w:p w:rsidR="008565F6" w:rsidRDefault="008565F6" w:rsidP="008565F6">
      <w:pPr>
        <w:tabs>
          <w:tab w:val="left" w:pos="5595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Преображенского</w:t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Преображенского</w:t>
      </w:r>
      <w:proofErr w:type="spellEnd"/>
      <w:proofErr w:type="gramEnd"/>
      <w:r>
        <w:rPr>
          <w:rFonts w:ascii="Times New Roman" w:hAnsi="Times New Roman"/>
        </w:rPr>
        <w:t xml:space="preserve"> сельсовета</w:t>
      </w:r>
    </w:p>
    <w:p w:rsidR="008565F6" w:rsidRPr="00B21CAB" w:rsidRDefault="008565F6" w:rsidP="008565F6">
      <w:pPr>
        <w:rPr>
          <w:rFonts w:ascii="Times New Roman" w:hAnsi="Times New Roman"/>
        </w:rPr>
      </w:pPr>
      <w:r>
        <w:rPr>
          <w:rFonts w:ascii="Times New Roman" w:hAnsi="Times New Roman"/>
        </w:rPr>
        <w:t>сельского Совета депутатов</w:t>
      </w:r>
    </w:p>
    <w:p w:rsidR="00C60395" w:rsidRDefault="008565F6" w:rsidP="00066F0C">
      <w:pPr>
        <w:tabs>
          <w:tab w:val="left" w:pos="5640"/>
        </w:tabs>
      </w:pPr>
      <w:r>
        <w:t>________________</w:t>
      </w:r>
      <w:r w:rsidR="001745ED">
        <w:rPr>
          <w:rFonts w:ascii="Times New Roman" w:hAnsi="Times New Roman"/>
        </w:rPr>
        <w:t>Т.В. Андриевских</w:t>
      </w:r>
      <w:r>
        <w:rPr>
          <w:rFonts w:ascii="Times New Roman" w:hAnsi="Times New Roman"/>
        </w:rPr>
        <w:tab/>
        <w:t>____________Л.В. Парамонов</w:t>
      </w:r>
    </w:p>
    <w:sectPr w:rsidR="00C60395" w:rsidSect="00066F0C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ED" w:rsidRDefault="004158ED" w:rsidP="008565F6">
      <w:r>
        <w:separator/>
      </w:r>
    </w:p>
  </w:endnote>
  <w:endnote w:type="continuationSeparator" w:id="0">
    <w:p w:rsidR="004158ED" w:rsidRDefault="004158ED" w:rsidP="0085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ED" w:rsidRDefault="004158ED" w:rsidP="008565F6">
      <w:r>
        <w:separator/>
      </w:r>
    </w:p>
  </w:footnote>
  <w:footnote w:type="continuationSeparator" w:id="0">
    <w:p w:rsidR="004158ED" w:rsidRDefault="004158ED" w:rsidP="0085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A1D"/>
    <w:multiLevelType w:val="multilevel"/>
    <w:tmpl w:val="684E145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12F16E60"/>
    <w:multiLevelType w:val="hybridMultilevel"/>
    <w:tmpl w:val="C4CC4F22"/>
    <w:lvl w:ilvl="0" w:tplc="49C68F0C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53841"/>
    <w:multiLevelType w:val="multilevel"/>
    <w:tmpl w:val="684E145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EF"/>
    <w:rsid w:val="0004372D"/>
    <w:rsid w:val="00066F0C"/>
    <w:rsid w:val="000E04F9"/>
    <w:rsid w:val="001745ED"/>
    <w:rsid w:val="0018320E"/>
    <w:rsid w:val="001E48C8"/>
    <w:rsid w:val="002138CD"/>
    <w:rsid w:val="002B3A57"/>
    <w:rsid w:val="002C26A5"/>
    <w:rsid w:val="002F23F3"/>
    <w:rsid w:val="003258A1"/>
    <w:rsid w:val="003269A7"/>
    <w:rsid w:val="00330487"/>
    <w:rsid w:val="0037354C"/>
    <w:rsid w:val="00381FE5"/>
    <w:rsid w:val="003C6403"/>
    <w:rsid w:val="004009DD"/>
    <w:rsid w:val="004158ED"/>
    <w:rsid w:val="00443D75"/>
    <w:rsid w:val="004C1515"/>
    <w:rsid w:val="00501D1C"/>
    <w:rsid w:val="00583526"/>
    <w:rsid w:val="005A7A84"/>
    <w:rsid w:val="00654162"/>
    <w:rsid w:val="006955DA"/>
    <w:rsid w:val="006A6825"/>
    <w:rsid w:val="00710F93"/>
    <w:rsid w:val="00795B3C"/>
    <w:rsid w:val="007D59B0"/>
    <w:rsid w:val="00805702"/>
    <w:rsid w:val="00806E56"/>
    <w:rsid w:val="008565F6"/>
    <w:rsid w:val="00874F82"/>
    <w:rsid w:val="00886D1B"/>
    <w:rsid w:val="008B7CE5"/>
    <w:rsid w:val="008D589B"/>
    <w:rsid w:val="00941DF2"/>
    <w:rsid w:val="009A256C"/>
    <w:rsid w:val="009C112C"/>
    <w:rsid w:val="009C6C4D"/>
    <w:rsid w:val="00A256D6"/>
    <w:rsid w:val="00BA3FB3"/>
    <w:rsid w:val="00BA75A3"/>
    <w:rsid w:val="00BB6E99"/>
    <w:rsid w:val="00C32CF4"/>
    <w:rsid w:val="00C60395"/>
    <w:rsid w:val="00D50165"/>
    <w:rsid w:val="00E43CEF"/>
    <w:rsid w:val="00E50170"/>
    <w:rsid w:val="00E573A6"/>
    <w:rsid w:val="00E869B4"/>
    <w:rsid w:val="00EC3095"/>
    <w:rsid w:val="00F13638"/>
    <w:rsid w:val="00F2552F"/>
    <w:rsid w:val="00F34578"/>
    <w:rsid w:val="00F36A0A"/>
    <w:rsid w:val="00F576E8"/>
    <w:rsid w:val="00FA168E"/>
    <w:rsid w:val="00FA1FAC"/>
    <w:rsid w:val="00FA4009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F6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65F6"/>
    <w:rPr>
      <w:rFonts w:ascii="Calibri" w:eastAsia="Calibri" w:hAnsi="Calibri" w:cs="Times New Roman"/>
      <w:sz w:val="28"/>
    </w:rPr>
  </w:style>
  <w:style w:type="paragraph" w:styleId="a5">
    <w:name w:val="List Paragraph"/>
    <w:basedOn w:val="a"/>
    <w:uiPriority w:val="34"/>
    <w:qFormat/>
    <w:rsid w:val="008565F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565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5F6"/>
    <w:rPr>
      <w:rFonts w:ascii="Calibri" w:eastAsia="Calibri" w:hAnsi="Calibri" w:cs="Times New Roman"/>
      <w:sz w:val="28"/>
    </w:rPr>
  </w:style>
  <w:style w:type="table" w:styleId="a8">
    <w:name w:val="Table Grid"/>
    <w:basedOn w:val="a1"/>
    <w:uiPriority w:val="59"/>
    <w:rsid w:val="0040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F6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65F6"/>
    <w:rPr>
      <w:rFonts w:ascii="Calibri" w:eastAsia="Calibri" w:hAnsi="Calibri" w:cs="Times New Roman"/>
      <w:sz w:val="28"/>
    </w:rPr>
  </w:style>
  <w:style w:type="paragraph" w:styleId="a5">
    <w:name w:val="List Paragraph"/>
    <w:basedOn w:val="a"/>
    <w:uiPriority w:val="34"/>
    <w:qFormat/>
    <w:rsid w:val="008565F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565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5F6"/>
    <w:rPr>
      <w:rFonts w:ascii="Calibri" w:eastAsia="Calibri" w:hAnsi="Calibri" w:cs="Times New Roman"/>
      <w:sz w:val="28"/>
    </w:rPr>
  </w:style>
  <w:style w:type="table" w:styleId="a8">
    <w:name w:val="Table Grid"/>
    <w:basedOn w:val="a1"/>
    <w:uiPriority w:val="59"/>
    <w:rsid w:val="0040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3848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30</cp:revision>
  <cp:lastPrinted>2019-05-31T01:51:00Z</cp:lastPrinted>
  <dcterms:created xsi:type="dcterms:W3CDTF">2018-11-08T07:21:00Z</dcterms:created>
  <dcterms:modified xsi:type="dcterms:W3CDTF">2021-02-03T06:57:00Z</dcterms:modified>
</cp:coreProperties>
</file>